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BASTIAN SILVA NAVARRO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6TOS AÑOS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HISTORIA, GEOGRAFÍA Y CIENCIAS SOCIALES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E45EA0" w:rsidRPr="0087794D" w:rsidRDefault="0015601C" w:rsidP="00E45EA0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15601C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Unidad </w:t>
            </w:r>
          </w:p>
          <w:p w:rsidR="005840D8" w:rsidRPr="0087794D" w:rsidRDefault="001B3087" w:rsidP="0015601C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1B3087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El proceso de Independencia de Chile y la construcción de la nación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E45EA0" w:rsidP="00E45EA0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JUEVES 13 DE JUNIO</w:t>
            </w:r>
            <w:r w:rsidR="0015601C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DEL 2024 -10:20 HRS. 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bookmarkStart w:id="0" w:name="_GoBack"/>
            <w:bookmarkEnd w:id="0"/>
          </w:p>
        </w:tc>
        <w:tc>
          <w:tcPr>
            <w:tcW w:w="6833" w:type="dxa"/>
          </w:tcPr>
          <w:p w:rsidR="0015601C" w:rsidRDefault="0015601C" w:rsidP="001560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OA de la Unidad: </w:t>
            </w:r>
          </w:p>
          <w:p w:rsidR="001B3087" w:rsidRPr="001B3087" w:rsidRDefault="001B3087" w:rsidP="001B3087">
            <w:pPr>
              <w:ind w:firstLine="360"/>
              <w:rPr>
                <w:rFonts w:ascii="Century Gothic" w:hAnsi="Century Gothic" w:cs="Arial"/>
                <w:bCs/>
              </w:rPr>
            </w:pPr>
            <w:r w:rsidRPr="001B3087">
              <w:rPr>
                <w:rFonts w:ascii="Century Gothic" w:hAnsi="Century Gothic" w:cs="Arial"/>
                <w:bCs/>
              </w:rPr>
              <w:t>OA 01</w:t>
            </w:r>
          </w:p>
          <w:p w:rsidR="001B3087" w:rsidRPr="001B3087" w:rsidRDefault="001B3087" w:rsidP="001B3087">
            <w:pPr>
              <w:ind w:firstLine="360"/>
              <w:rPr>
                <w:rFonts w:ascii="Century Gothic" w:hAnsi="Century Gothic" w:cs="Arial"/>
                <w:bCs/>
              </w:rPr>
            </w:pPr>
            <w:r w:rsidRPr="001B3087">
              <w:rPr>
                <w:rFonts w:ascii="Century Gothic" w:hAnsi="Century Gothic" w:cs="Arial"/>
                <w:bCs/>
              </w:rPr>
              <w:t>Explicar los múltiples antecedentes de la independencia de las colonias americanas y reconocer que la independencia de Chile se enmarca en un proceso continental.</w:t>
            </w:r>
          </w:p>
          <w:p w:rsidR="001B3087" w:rsidRPr="001B3087" w:rsidRDefault="001B3087" w:rsidP="001B3087">
            <w:pPr>
              <w:ind w:firstLine="360"/>
              <w:rPr>
                <w:rFonts w:ascii="Century Gothic" w:hAnsi="Century Gothic" w:cs="Arial"/>
                <w:bCs/>
              </w:rPr>
            </w:pPr>
            <w:r w:rsidRPr="001B3087">
              <w:rPr>
                <w:rFonts w:ascii="Century Gothic" w:hAnsi="Century Gothic" w:cs="Arial"/>
                <w:bCs/>
              </w:rPr>
              <w:t>OA 02</w:t>
            </w:r>
          </w:p>
          <w:p w:rsidR="001B3087" w:rsidRPr="001B3087" w:rsidRDefault="001B3087" w:rsidP="001B3087">
            <w:pPr>
              <w:ind w:firstLine="360"/>
              <w:rPr>
                <w:rFonts w:ascii="Century Gothic" w:hAnsi="Century Gothic" w:cs="Arial"/>
                <w:bCs/>
              </w:rPr>
            </w:pPr>
            <w:r w:rsidRPr="001B3087">
              <w:rPr>
                <w:rFonts w:ascii="Century Gothic" w:hAnsi="Century Gothic" w:cs="Arial"/>
                <w:bCs/>
              </w:rPr>
              <w:t>Explicar el desarrollo del proceso de independencia de Chile, considerando actores y bandos que se enfrentaron, hombres y mujeres destacados, avances y retrocesos de la causa patriota y algunos acontecimientos significativos, como la celebración del cabildo abierto de 1810 y la formación de la Primera Junta Nacional de Gobierno, la elección del primer Congreso Nacional, las batallas de Rancagua, Chacabuco y Maipú, y la Declaración de la Independencia, entre otros.</w:t>
            </w:r>
          </w:p>
          <w:p w:rsidR="001B3087" w:rsidRPr="001B3087" w:rsidRDefault="001B3087" w:rsidP="001B3087">
            <w:pPr>
              <w:rPr>
                <w:rFonts w:ascii="Century Gothic" w:hAnsi="Century Gothic" w:cs="Arial"/>
                <w:b/>
                <w:bCs/>
              </w:rPr>
            </w:pPr>
            <w:r w:rsidRPr="001B3087">
              <w:rPr>
                <w:rFonts w:ascii="Century Gothic" w:hAnsi="Century Gothic" w:cs="Arial"/>
                <w:b/>
                <w:bCs/>
              </w:rPr>
              <w:t>Aprendizajes Esperados: Habilidades y Contenidos.</w:t>
            </w:r>
          </w:p>
          <w:p w:rsidR="001B3087" w:rsidRPr="001B3087" w:rsidRDefault="001B3087" w:rsidP="001B3087">
            <w:pPr>
              <w:rPr>
                <w:rFonts w:ascii="Century Gothic" w:hAnsi="Century Gothic" w:cs="Arial"/>
                <w:bCs/>
              </w:rPr>
            </w:pPr>
            <w:r w:rsidRPr="001B3087">
              <w:rPr>
                <w:rFonts w:ascii="Century Gothic" w:hAnsi="Century Gothic" w:cs="Arial"/>
                <w:bCs/>
              </w:rPr>
              <w:t>Causas internas y externas del proceso de independencia.</w:t>
            </w:r>
          </w:p>
          <w:p w:rsidR="001B3087" w:rsidRPr="001B3087" w:rsidRDefault="001B3087" w:rsidP="001B3087">
            <w:pPr>
              <w:rPr>
                <w:rFonts w:ascii="Century Gothic" w:hAnsi="Century Gothic" w:cs="Arial"/>
                <w:bCs/>
              </w:rPr>
            </w:pPr>
            <w:r w:rsidRPr="001B3087">
              <w:rPr>
                <w:rFonts w:ascii="Century Gothic" w:hAnsi="Century Gothic" w:cs="Arial"/>
                <w:bCs/>
              </w:rPr>
              <w:t>Hitos del proceso.</w:t>
            </w:r>
          </w:p>
          <w:p w:rsidR="001B3087" w:rsidRPr="001B3087" w:rsidRDefault="001B3087" w:rsidP="001B3087">
            <w:pPr>
              <w:rPr>
                <w:rFonts w:ascii="Century Gothic" w:hAnsi="Century Gothic" w:cs="Arial"/>
                <w:bCs/>
              </w:rPr>
            </w:pPr>
            <w:r w:rsidRPr="001B3087">
              <w:rPr>
                <w:rFonts w:ascii="Century Gothic" w:hAnsi="Century Gothic" w:cs="Arial"/>
                <w:bCs/>
              </w:rPr>
              <w:t>Personajes principales.</w:t>
            </w:r>
          </w:p>
          <w:p w:rsidR="001B3087" w:rsidRPr="001B3087" w:rsidRDefault="001B3087" w:rsidP="001B3087">
            <w:pPr>
              <w:rPr>
                <w:rFonts w:ascii="Century Gothic" w:hAnsi="Century Gothic" w:cs="Arial"/>
                <w:bCs/>
              </w:rPr>
            </w:pPr>
            <w:r w:rsidRPr="001B3087">
              <w:rPr>
                <w:rFonts w:ascii="Century Gothic" w:hAnsi="Century Gothic" w:cs="Arial"/>
                <w:bCs/>
              </w:rPr>
              <w:t>Contextualizar temporalmente los hechos.</w:t>
            </w:r>
          </w:p>
          <w:p w:rsidR="001B3087" w:rsidRPr="001B3087" w:rsidRDefault="001B3087" w:rsidP="001B3087">
            <w:pPr>
              <w:rPr>
                <w:rFonts w:ascii="Century Gothic" w:hAnsi="Century Gothic" w:cs="Arial"/>
                <w:bCs/>
              </w:rPr>
            </w:pPr>
            <w:r w:rsidRPr="001B3087">
              <w:rPr>
                <w:rFonts w:ascii="Century Gothic" w:hAnsi="Century Gothic" w:cs="Arial"/>
                <w:bCs/>
              </w:rPr>
              <w:t>Banderas y características de cada proceso.</w:t>
            </w:r>
          </w:p>
          <w:p w:rsidR="005840D8" w:rsidRPr="0087794D" w:rsidRDefault="005840D8" w:rsidP="001B3087">
            <w:pPr>
              <w:pStyle w:val="Prrafodelista"/>
              <w:spacing w:after="200" w:line="276" w:lineRule="auto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E45EA0" w:rsidP="00E45EA0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de 26 alternativas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15601C" w:rsidP="00E45EA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20% de la nota de la </w:t>
            </w:r>
            <w:r w:rsidR="00E45EA0">
              <w:rPr>
                <w:rFonts w:ascii="Century Gothic" w:hAnsi="Century Gothic"/>
                <w:sz w:val="24"/>
                <w:szCs w:val="24"/>
                <w:lang w:val="es-CL"/>
              </w:rPr>
              <w:t>segunda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unidad</w:t>
            </w:r>
          </w:p>
        </w:tc>
      </w:tr>
    </w:tbl>
    <w:p w:rsidR="00BD0BB8" w:rsidRDefault="0015601C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</w:t>
      </w:r>
      <w:r w:rsidR="00E45EA0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2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C0D" w:rsidRDefault="00025C0D" w:rsidP="005840D8">
      <w:pPr>
        <w:spacing w:after="0" w:line="240" w:lineRule="auto"/>
      </w:pPr>
      <w:r>
        <w:separator/>
      </w:r>
    </w:p>
  </w:endnote>
  <w:endnote w:type="continuationSeparator" w:id="0">
    <w:p w:rsidR="00025C0D" w:rsidRDefault="00025C0D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C0D" w:rsidRDefault="00025C0D" w:rsidP="005840D8">
      <w:pPr>
        <w:spacing w:after="0" w:line="240" w:lineRule="auto"/>
      </w:pPr>
      <w:r>
        <w:separator/>
      </w:r>
    </w:p>
  </w:footnote>
  <w:footnote w:type="continuationSeparator" w:id="0">
    <w:p w:rsidR="00025C0D" w:rsidRDefault="00025C0D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06217"/>
    <w:multiLevelType w:val="hybridMultilevel"/>
    <w:tmpl w:val="655C01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6ED7045"/>
    <w:multiLevelType w:val="hybridMultilevel"/>
    <w:tmpl w:val="6DE69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25C0D"/>
    <w:rsid w:val="0015601C"/>
    <w:rsid w:val="001B3087"/>
    <w:rsid w:val="001B48C6"/>
    <w:rsid w:val="002C68D3"/>
    <w:rsid w:val="005840D8"/>
    <w:rsid w:val="00BD0BB8"/>
    <w:rsid w:val="00E4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0128E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8E4F880B-CAF9-4164-BBE3-EB2110FE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3</cp:revision>
  <dcterms:created xsi:type="dcterms:W3CDTF">2024-06-03T18:23:00Z</dcterms:created>
  <dcterms:modified xsi:type="dcterms:W3CDTF">2024-06-03T18:24:00Z</dcterms:modified>
</cp:coreProperties>
</file>